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970"/>
        <w:gridCol w:w="1701"/>
        <w:gridCol w:w="1701"/>
        <w:gridCol w:w="1701"/>
        <w:gridCol w:w="2208"/>
      </w:tblGrid>
      <w:tr>
        <w:trPr>
          <w:trHeight w:val="1" w:hRule="atLeast"/>
          <w:jc w:val="left"/>
        </w:trPr>
        <w:tc>
          <w:tcPr>
            <w:tcW w:w="297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>
        <w:trPr>
          <w:trHeight w:val="1" w:hRule="atLeast"/>
          <w:jc w:val="left"/>
        </w:trPr>
        <w:tc>
          <w:tcPr>
            <w:tcW w:w="297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 утверждении порядка предоставления гарантий муниципальным служащим аппарата Совета депутатов внутригородского муниципального образования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муниципального округа Новогиреево в городе Москве2</w:t>
            </w:r>
          </w:p>
        </w:tc>
        <w:tc>
          <w:tcPr>
            <w:tcW w:w="1701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150" w:line="33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12.02.2025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1701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150" w:line="33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18.02.2025</w:t>
            </w:r>
          </w:p>
        </w:tc>
        <w:tc>
          <w:tcPr>
            <w:tcW w:w="1701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8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-6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novogireevo100@</w:t>
            </w:r>
          </w:p>
          <w:p>
            <w:pPr>
              <w:spacing w:before="0" w:after="0" w:line="240"/>
              <w:ind w:right="0" w:left="-6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mail.ru</w:t>
            </w:r>
          </w:p>
        </w:tc>
      </w:tr>
    </w:tbl>
    <w:p>
      <w:pPr>
        <w:spacing w:before="0" w:after="0" w:line="240"/>
        <w:ind w:right="0" w:left="-709" w:firstLine="0"/>
        <w:jc w:val="center"/>
        <w:rPr>
          <w:rFonts w:ascii="Arial" w:hAnsi="Arial" w:cs="Arial" w:eastAsia="Arial"/>
          <w:color w:val="222222"/>
          <w:spacing w:val="1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222222"/>
          <w:spacing w:val="1"/>
          <w:position w:val="0"/>
          <w:sz w:val="23"/>
          <w:shd w:fill="auto" w:val="clear"/>
        </w:rPr>
        <w:t xml:space="preserve">Таблица по независимой антикоррупционной экспетризе проекта решения о Порядке предоставления гарантий.docx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